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Century Gothic" w:cs="Century Gothic" w:eastAsia="Century Gothic" w:hAnsi="Century Gothic"/>
          <w:b w:val="1"/>
          <w:sz w:val="48"/>
          <w:szCs w:val="48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48"/>
          <w:szCs w:val="48"/>
          <w:rtl w:val="0"/>
        </w:rPr>
        <w:t xml:space="preserve">MUNICIPALIDAD DE SAN LUCAS SACATEPÉQUEZ, SACATEPÉQUEZ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b="0" l="0" r="0" t="0"/>
            <wp:wrapNone/>
            <wp:docPr id="146042360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1"/>
        <w:tblW w:w="1374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79"/>
        <w:gridCol w:w="7"/>
        <w:gridCol w:w="1019"/>
        <w:gridCol w:w="4242"/>
        <w:gridCol w:w="2160"/>
        <w:gridCol w:w="3838"/>
        <w:tblGridChange w:id="0">
          <w:tblGrid>
            <w:gridCol w:w="2479"/>
            <w:gridCol w:w="7"/>
            <w:gridCol w:w="1019"/>
            <w:gridCol w:w="4242"/>
            <w:gridCol w:w="2160"/>
            <w:gridCol w:w="3838"/>
          </w:tblGrid>
        </w:tblGridChange>
      </w:tblGrid>
      <w:tr>
        <w:trPr>
          <w:cantSplit w:val="0"/>
          <w:tblHeader w:val="0"/>
        </w:trPr>
        <w:tc>
          <w:tcPr>
            <w:gridSpan w:val="2"/>
            <w:shd w:fill="99cc00" w:val="clear"/>
            <w:vAlign w:val="center"/>
          </w:tcPr>
          <w:p w:rsidR="00000000" w:rsidDel="00000000" w:rsidP="00000000" w:rsidRDefault="00000000" w:rsidRPr="00000000" w14:paraId="00000002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Proceso: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04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Arbitrios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06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Identificación:</w:t>
            </w:r>
          </w:p>
        </w:tc>
        <w:tc>
          <w:tcPr/>
          <w:p w:rsidR="00000000" w:rsidDel="00000000" w:rsidP="00000000" w:rsidRDefault="00000000" w:rsidRPr="00000000" w14:paraId="00000007">
            <w:pPr>
              <w:jc w:val="center"/>
              <w:rPr>
                <w:rFonts w:ascii="Century Gothic" w:cs="Century Gothic" w:eastAsia="Century Gothic" w:hAnsi="Century Gothic"/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PR-MSL-DAFIM-T-UA-OCP-SGL-03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shd w:fill="99cc00" w:val="clear"/>
            <w:vAlign w:val="center"/>
          </w:tcPr>
          <w:p w:rsidR="00000000" w:rsidDel="00000000" w:rsidP="00000000" w:rsidRDefault="00000000" w:rsidRPr="00000000" w14:paraId="00000008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Procedimiento: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0A">
            <w:pPr>
              <w:jc w:val="center"/>
              <w:rPr>
                <w:rFonts w:ascii="Georgia" w:cs="Georgia" w:eastAsia="Georgia" w:hAnsi="Georgia"/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Operar Convenios de Pago en el </w:t>
            </w:r>
          </w:p>
          <w:p w:rsidR="00000000" w:rsidDel="00000000" w:rsidP="00000000" w:rsidRDefault="00000000" w:rsidRPr="00000000" w14:paraId="0000000C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Sistema de Servicios GL</w:t>
            </w:r>
          </w:p>
          <w:p w:rsidR="00000000" w:rsidDel="00000000" w:rsidP="00000000" w:rsidRDefault="00000000" w:rsidRPr="00000000" w14:paraId="0000000D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0F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Versión:</w:t>
            </w:r>
          </w:p>
        </w:tc>
        <w:tc>
          <w:tcPr/>
          <w:p w:rsidR="00000000" w:rsidDel="00000000" w:rsidP="00000000" w:rsidRDefault="00000000" w:rsidRPr="00000000" w14:paraId="00000011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>
            <w:gridSpan w:val="3"/>
            <w:shd w:fill="99cc00" w:val="clear"/>
            <w:vAlign w:val="center"/>
          </w:tcPr>
          <w:p w:rsidR="00000000" w:rsidDel="00000000" w:rsidP="00000000" w:rsidRDefault="00000000" w:rsidRPr="00000000" w14:paraId="00000013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Dirección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16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Departamento</w:t>
            </w:r>
          </w:p>
        </w:tc>
        <w:tc>
          <w:tcPr>
            <w:gridSpan w:val="2"/>
            <w:shd w:fill="99cc00" w:val="clear"/>
          </w:tcPr>
          <w:p w:rsidR="00000000" w:rsidDel="00000000" w:rsidP="00000000" w:rsidRDefault="00000000" w:rsidRPr="00000000" w14:paraId="00000017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Unidad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67" w:hRule="atLeast"/>
          <w:tblHeader w:val="0"/>
        </w:trPr>
        <w:tc>
          <w:tcPr>
            <w:gridSpan w:val="3"/>
            <w:vAlign w:val="center"/>
          </w:tcPr>
          <w:p w:rsidR="00000000" w:rsidDel="00000000" w:rsidP="00000000" w:rsidRDefault="00000000" w:rsidRPr="00000000" w14:paraId="00000019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Administración Financiera Integrada Municipal</w:t>
            </w:r>
          </w:p>
          <w:p w:rsidR="00000000" w:rsidDel="00000000" w:rsidP="00000000" w:rsidRDefault="00000000" w:rsidRPr="00000000" w14:paraId="0000001A">
            <w:pPr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D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Tesorería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1F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Arbitrios </w:t>
            </w:r>
          </w:p>
        </w:tc>
      </w:tr>
      <w:tr>
        <w:trPr>
          <w:cantSplit w:val="0"/>
          <w:trHeight w:val="684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2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  <w:vAlign w:val="center"/>
          </w:tcPr>
          <w:p w:rsidR="00000000" w:rsidDel="00000000" w:rsidP="00000000" w:rsidRDefault="00000000" w:rsidRPr="00000000" w14:paraId="00000023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Nombre Completo</w:t>
            </w:r>
          </w:p>
        </w:tc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6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Firma</w:t>
            </w:r>
          </w:p>
        </w:tc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7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Elaboración</w:t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8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Elaborado por: 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029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Betzayda Rossio Palao martínez 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2C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2D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20 de mayo de 2025</w:t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E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2F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Coordinadora de Arbitrios 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61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34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</w:tcPr>
          <w:p w:rsidR="00000000" w:rsidDel="00000000" w:rsidP="00000000" w:rsidRDefault="00000000" w:rsidRPr="00000000" w14:paraId="00000035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38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39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Revisado</w:t>
            </w:r>
          </w:p>
        </w:tc>
      </w:tr>
      <w:tr>
        <w:trPr>
          <w:cantSplit w:val="0"/>
          <w:trHeight w:val="574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3A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Revisado por: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03B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Kelly Edenylson Rosales saravia 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3E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3F">
            <w:pPr>
              <w:jc w:val="center"/>
              <w:rPr>
                <w:rFonts w:ascii="Century Gothic" w:cs="Century Gothic" w:eastAsia="Century Gothic" w:hAnsi="Century Gothic"/>
                <w:b w:val="1"/>
                <w:sz w:val="40"/>
                <w:szCs w:val="40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28 de julio de 2025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89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40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41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Director Financiero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5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46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</w:tcPr>
          <w:p w:rsidR="00000000" w:rsidDel="00000000" w:rsidP="00000000" w:rsidRDefault="00000000" w:rsidRPr="00000000" w14:paraId="00000047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4A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4B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Aprobación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4C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Aprobado por: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4D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Lic. Yener Haroldo Plaza Natareno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50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51">
            <w:pPr>
              <w:jc w:val="center"/>
              <w:rPr>
                <w:rFonts w:ascii="Century Gothic" w:cs="Century Gothic" w:eastAsia="Century Gothic" w:hAnsi="Century Gothic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52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53">
            <w:pPr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Alcalde Municipal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8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Objetivo</w:t>
      </w:r>
    </w:p>
    <w:p w:rsidR="00000000" w:rsidDel="00000000" w:rsidP="00000000" w:rsidRDefault="00000000" w:rsidRPr="00000000" w14:paraId="00000059">
      <w:pPr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  <w:rtl w:val="0"/>
        </w:rPr>
        <w:t xml:space="preserve">Es gestionar el cobro de los arbitrios municipales, que son tasas que pagan los vecinos por los servicios públicos que brinda el municipio.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center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Marco Legal</w:t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center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Artículos 1, 2, 3, 5, 7, 52 y 53 del Código Municipal (Decreto 12-2002) y sus modificaciones según decreto 22-2010.</w:t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Ley de Establecimientos abiertos al Público. Decreto 56-95.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firstLine="0"/>
        <w:jc w:val="center"/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Normas de Aplicación Interna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Usuarios</w:t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Dirección Municipal de Administración Financiera Integrada Municipal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jc w:val="center"/>
        <w:rPr>
          <w:rFonts w:ascii="Century Gothic" w:cs="Century Gothic" w:eastAsia="Century Gothic" w:hAnsi="Century Gothic"/>
          <w:b w:val="1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24"/>
          <w:szCs w:val="24"/>
          <w:rtl w:val="0"/>
        </w:rPr>
        <w:t xml:space="preserve">Narrativa </w:t>
      </w:r>
    </w:p>
    <w:tbl>
      <w:tblPr>
        <w:tblStyle w:val="Table2"/>
        <w:tblW w:w="12474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93"/>
        <w:gridCol w:w="9072"/>
        <w:gridCol w:w="2409"/>
        <w:tblGridChange w:id="0">
          <w:tblGrid>
            <w:gridCol w:w="993"/>
            <w:gridCol w:w="9072"/>
            <w:gridCol w:w="2409"/>
          </w:tblGrid>
        </w:tblGridChange>
      </w:tblGrid>
      <w:tr>
        <w:trPr>
          <w:cantSplit w:val="0"/>
          <w:tblHeader w:val="0"/>
        </w:trPr>
        <w:tc>
          <w:tcPr>
            <w:shd w:fill="92d050" w:val="clear"/>
          </w:tcPr>
          <w:p w:rsidR="00000000" w:rsidDel="00000000" w:rsidP="00000000" w:rsidRDefault="00000000" w:rsidRPr="00000000" w14:paraId="00000064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No.</w:t>
            </w:r>
          </w:p>
        </w:tc>
        <w:tc>
          <w:tcPr>
            <w:shd w:fill="92d050" w:val="clear"/>
          </w:tcPr>
          <w:p w:rsidR="00000000" w:rsidDel="00000000" w:rsidP="00000000" w:rsidRDefault="00000000" w:rsidRPr="00000000" w14:paraId="00000065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Responsable </w:t>
            </w:r>
          </w:p>
        </w:tc>
        <w:tc>
          <w:tcPr>
            <w:shd w:fill="92d050" w:val="clear"/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7">
            <w:pPr>
              <w:jc w:val="center"/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68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Solicitar información del monto total de la deuda, se verifica en los registros y se le entrega los requisitos para el trámite respectivo.                                                                 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69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6C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Arbitrios</w:t>
            </w:r>
          </w:p>
        </w:tc>
      </w:tr>
      <w:tr>
        <w:trPr>
          <w:cantSplit w:val="0"/>
          <w:trHeight w:val="64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D">
            <w:pPr>
              <w:jc w:val="center"/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6E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Analizar el caso y </w:t>
            </w: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elaborar</w:t>
            </w: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 el informe para establecer el convenio de pago.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0">
            <w:pPr>
              <w:jc w:val="center"/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71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Elaborar Resolución.                                                                    </w:t>
            </w:r>
          </w:p>
        </w:tc>
        <w:tc>
          <w:tcPr/>
          <w:p w:rsidR="00000000" w:rsidDel="00000000" w:rsidP="00000000" w:rsidRDefault="00000000" w:rsidRPr="00000000" w14:paraId="00000072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Alcaldía</w:t>
            </w:r>
          </w:p>
        </w:tc>
      </w:tr>
      <w:tr>
        <w:trPr>
          <w:cantSplit w:val="0"/>
          <w:trHeight w:val="64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3">
            <w:pPr>
              <w:jc w:val="center"/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74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Contactar al contribuyente y poder firmar el convenio por el total de cuotas acordadas.                                                                                       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75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jc w:val="center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Arbitrios</w:t>
            </w:r>
          </w:p>
        </w:tc>
      </w:tr>
      <w:tr>
        <w:trPr>
          <w:cantSplit w:val="0"/>
          <w:trHeight w:val="64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A">
            <w:pPr>
              <w:jc w:val="center"/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7B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Registrar la operación en el sistema de Servicios GL para que quede operada la operación y el contribuyente pueda iniciar a realizar sus pagos.  </w:t>
            </w:r>
          </w:p>
          <w:p w:rsidR="00000000" w:rsidDel="00000000" w:rsidP="00000000" w:rsidRDefault="00000000" w:rsidRPr="00000000" w14:paraId="0000007C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NOTA: Si el convenio de pago es de otra unidad, la Unidad de Arbitrios únicamente recibe la resolución por parte de Alcaldía solicitando realizar en el sistema de Servicios GL el convenio.</w:t>
            </w:r>
          </w:p>
          <w:p w:rsidR="00000000" w:rsidDel="00000000" w:rsidP="00000000" w:rsidRDefault="00000000" w:rsidRPr="00000000" w14:paraId="0000007F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  <w:rtl w:val="0"/>
              </w:rPr>
              <w:t xml:space="preserve">                                                                           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8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2">
      <w:pPr>
        <w:jc w:val="left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Diagrama</w:t>
      </w:r>
    </w:p>
    <w:p w:rsidR="00000000" w:rsidDel="00000000" w:rsidP="00000000" w:rsidRDefault="00000000" w:rsidRPr="00000000" w14:paraId="00000083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/>
        <w:drawing>
          <wp:inline distB="0" distT="0" distL="0" distR="0">
            <wp:extent cx="7106386" cy="4160784"/>
            <wp:effectExtent b="0" l="0" r="0" t="0"/>
            <wp:docPr descr="A diagram of a process&#10;&#10;AI-generated content may be incorrect." id="1460423601" name="image3.png"/>
            <a:graphic>
              <a:graphicData uri="http://schemas.openxmlformats.org/drawingml/2006/picture">
                <pic:pic>
                  <pic:nvPicPr>
                    <pic:cNvPr descr="A diagram of a process&#10;&#10;AI-generated content may be incorrect." id="0" name="image3.png"/>
                    <pic:cNvPicPr preferRelativeResize="0"/>
                  </pic:nvPicPr>
                  <pic:blipFill>
                    <a:blip r:embed="rId8"/>
                    <a:srcRect b="20816" l="1897" r="0" t="3460"/>
                    <a:stretch>
                      <a:fillRect/>
                    </a:stretch>
                  </pic:blipFill>
                  <pic:spPr>
                    <a:xfrm>
                      <a:off x="0" y="0"/>
                      <a:ext cx="7106386" cy="41607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bookmarkStart w:colFirst="0" w:colLast="0" w:name="_heading=h.62m1qhd7vpox" w:id="0"/>
      <w:bookmarkEnd w:id="0"/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Tabla de Anexos</w:t>
      </w:r>
    </w:p>
    <w:tbl>
      <w:tblPr>
        <w:tblStyle w:val="Table3"/>
        <w:tblW w:w="1356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674"/>
        <w:gridCol w:w="11891"/>
        <w:tblGridChange w:id="0">
          <w:tblGrid>
            <w:gridCol w:w="1674"/>
            <w:gridCol w:w="11891"/>
          </w:tblGrid>
        </w:tblGridChange>
      </w:tblGrid>
      <w:tr>
        <w:trPr>
          <w:cantSplit w:val="0"/>
          <w:trHeight w:val="470" w:hRule="atLeast"/>
          <w:tblHeader w:val="0"/>
        </w:trPr>
        <w:tc>
          <w:tcPr/>
          <w:p w:rsidR="00000000" w:rsidDel="00000000" w:rsidP="00000000" w:rsidRDefault="00000000" w:rsidRPr="00000000" w14:paraId="00000087">
            <w:pPr>
              <w:jc w:val="center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36"/>
                <w:szCs w:val="36"/>
                <w:rtl w:val="0"/>
              </w:rPr>
              <w:t xml:space="preserve">No.</w:t>
            </w:r>
          </w:p>
        </w:tc>
        <w:tc>
          <w:tcPr/>
          <w:p w:rsidR="00000000" w:rsidDel="00000000" w:rsidP="00000000" w:rsidRDefault="00000000" w:rsidRPr="00000000" w14:paraId="00000088">
            <w:pPr>
              <w:jc w:val="center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36"/>
                <w:szCs w:val="36"/>
                <w:rtl w:val="0"/>
              </w:rPr>
              <w:t xml:space="preserve">Anexo</w:t>
            </w:r>
          </w:p>
        </w:tc>
      </w:tr>
      <w:tr>
        <w:trPr>
          <w:cantSplit w:val="0"/>
          <w:trHeight w:val="399" w:hRule="atLeast"/>
          <w:tblHeader w:val="0"/>
        </w:trPr>
        <w:tc>
          <w:tcPr/>
          <w:p w:rsidR="00000000" w:rsidDel="00000000" w:rsidP="00000000" w:rsidRDefault="00000000" w:rsidRPr="00000000" w14:paraId="00000089">
            <w:pPr>
              <w:jc w:val="center"/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A">
            <w:pPr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N/A</w:t>
            </w:r>
          </w:p>
        </w:tc>
      </w:tr>
    </w:tbl>
    <w:p w:rsidR="00000000" w:rsidDel="00000000" w:rsidP="00000000" w:rsidRDefault="00000000" w:rsidRPr="00000000" w14:paraId="0000008B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sectPr>
      <w:headerReference r:id="rId9" w:type="default"/>
      <w:footerReference r:id="rId10" w:type="default"/>
      <w:footerReference r:id="rId11" w:type="first"/>
      <w:pgSz w:h="12240" w:w="15840" w:orient="landscape"/>
      <w:pgMar w:bottom="1440" w:top="1440" w:left="851" w:right="1239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  <w:font w:name="Century Gothic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8C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Century Gothic" w:cs="Century Gothic" w:eastAsia="Century Gothic" w:hAnsi="Century Gothic"/>
        <w:b w:val="1"/>
        <w:sz w:val="36"/>
        <w:szCs w:val="36"/>
      </w:rPr>
    </w:pPr>
    <w:r w:rsidDel="00000000" w:rsidR="00000000" w:rsidRPr="00000000">
      <w:rPr>
        <w:rtl w:val="0"/>
      </w:rPr>
    </w:r>
  </w:p>
  <w:tbl>
    <w:tblPr>
      <w:tblStyle w:val="Table4"/>
      <w:tblW w:w="13591.0" w:type="dxa"/>
      <w:jc w:val="left"/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  <w:tblLayout w:type="fixed"/>
      <w:tblLook w:val="0400"/>
    </w:tblPr>
    <w:tblGrid>
      <w:gridCol w:w="3220"/>
      <w:gridCol w:w="6414"/>
      <w:gridCol w:w="3957"/>
      <w:tblGridChange w:id="0">
        <w:tblGrid>
          <w:gridCol w:w="3220"/>
          <w:gridCol w:w="6414"/>
          <w:gridCol w:w="3957"/>
        </w:tblGrid>
      </w:tblGridChange>
    </w:tblGrid>
    <w:tr>
      <w:trPr>
        <w:cantSplit w:val="0"/>
        <w:trHeight w:val="424" w:hRule="atLeast"/>
        <w:tblHeader w:val="0"/>
      </w:trPr>
      <w:tc>
        <w:tcPr>
          <w:vMerge w:val="restart"/>
        </w:tcPr>
        <w:p w:rsidR="00000000" w:rsidDel="00000000" w:rsidP="00000000" w:rsidRDefault="00000000" w:rsidRPr="00000000" w14:paraId="0000008D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b="0" l="0" r="0" t="0"/>
                <wp:wrapNone/>
                <wp:docPr id="1460423599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vMerge w:val="restart"/>
          <w:vAlign w:val="center"/>
        </w:tcPr>
        <w:p w:rsidR="00000000" w:rsidDel="00000000" w:rsidP="00000000" w:rsidRDefault="00000000" w:rsidRPr="00000000" w14:paraId="0000008E">
          <w:pPr>
            <w:jc w:val="center"/>
            <w:rPr>
              <w:rFonts w:ascii="Century Gothic" w:cs="Century Gothic" w:eastAsia="Century Gothic" w:hAnsi="Century Gothic"/>
              <w:color w:val="000000"/>
              <w:sz w:val="24"/>
              <w:szCs w:val="24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color w:val="000000"/>
              <w:sz w:val="24"/>
              <w:szCs w:val="24"/>
              <w:rtl w:val="0"/>
            </w:rPr>
            <w:t xml:space="preserve">Procedimiento Operar Convenios de Pago en el </w:t>
          </w:r>
        </w:p>
        <w:p w:rsidR="00000000" w:rsidDel="00000000" w:rsidP="00000000" w:rsidRDefault="00000000" w:rsidRPr="00000000" w14:paraId="0000008F">
          <w:pPr>
            <w:jc w:val="center"/>
            <w:rPr>
              <w:rFonts w:ascii="Century Gothic" w:cs="Century Gothic" w:eastAsia="Century Gothic" w:hAnsi="Century Gothic"/>
              <w:color w:val="000000"/>
              <w:sz w:val="24"/>
              <w:szCs w:val="24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color w:val="000000"/>
              <w:sz w:val="24"/>
              <w:szCs w:val="24"/>
              <w:rtl w:val="0"/>
            </w:rPr>
            <w:t xml:space="preserve">Sistema de Servicios GL</w:t>
          </w:r>
        </w:p>
        <w:p w:rsidR="00000000" w:rsidDel="00000000" w:rsidP="00000000" w:rsidRDefault="00000000" w:rsidRPr="00000000" w14:paraId="00000090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91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Identificación:</w:t>
          </w:r>
        </w:p>
      </w:tc>
    </w:tr>
    <w:tr>
      <w:trPr>
        <w:cantSplit w:val="0"/>
        <w:trHeight w:val="423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92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093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94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PR-MSL-DAFIM-T-UAEE-OCP-SGL-03</w:t>
          </w:r>
          <w:r w:rsidDel="00000000" w:rsidR="00000000" w:rsidRPr="00000000">
            <w:rPr>
              <w:rtl w:val="0"/>
            </w:rPr>
          </w:r>
        </w:p>
      </w:tc>
    </w:tr>
    <w:tr>
      <w:trPr>
        <w:cantSplit w:val="0"/>
        <w:trHeight w:val="424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95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096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97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Versión</w:t>
          </w:r>
        </w:p>
      </w:tc>
    </w:tr>
    <w:tr>
      <w:trPr>
        <w:cantSplit w:val="0"/>
        <w:trHeight w:val="423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98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099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9A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</w:t>
          </w:r>
        </w:p>
      </w:tc>
    </w:tr>
  </w:tbl>
  <w:p w:rsidR="00000000" w:rsidDel="00000000" w:rsidP="00000000" w:rsidRDefault="00000000" w:rsidRPr="00000000" w14:paraId="0000009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2"/>
        <w:szCs w:val="22"/>
        <w:lang w:val="es-GT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4A77F7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4A77F7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4A77F7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4A77F7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4A77F7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4A77F7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4A77F7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4A77F7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4A77F7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4A77F7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4A77F7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4A77F7"/>
    <w:rPr>
      <w:rFonts w:cstheme="majorBidi" w:eastAsiaTheme="majorEastAsia"/>
      <w:color w:val="272727" w:themeColor="text1" w:themeTint="0000D8"/>
    </w:rPr>
  </w:style>
  <w:style w:type="character" w:styleId="TitleChar" w:customStyle="1">
    <w:name w:val="Title Char"/>
    <w:basedOn w:val="DefaultParagraphFont"/>
    <w:link w:val="Title"/>
    <w:uiPriority w:val="10"/>
    <w:rsid w:val="004A77F7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sid w:val="004A77F7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4A77F7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4A77F7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4A77F7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4A77F7"/>
    <w:rPr>
      <w:i w:val="1"/>
      <w:iCs w:val="1"/>
      <w:color w:val="0f4761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4A77F7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4A77F7"/>
    <w:rPr>
      <w:i w:val="1"/>
      <w:iCs w:val="1"/>
      <w:color w:val="0f4761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4A77F7"/>
    <w:rPr>
      <w:b w:val="1"/>
      <w:bCs w:val="1"/>
      <w:smallCaps w:val="1"/>
      <w:color w:val="0f4761" w:themeColor="accent1" w:themeShade="0000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 w:val="1"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2C793B"/>
  </w:style>
  <w:style w:type="character" w:styleId="Strong">
    <w:name w:val="Strong"/>
    <w:basedOn w:val="DefaultParagraphFont"/>
    <w:uiPriority w:val="22"/>
    <w:qFormat w:val="1"/>
    <w:rsid w:val="0028525D"/>
    <w:rPr>
      <w:b w:val="1"/>
      <w:bCs w:val="1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2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Relationship Id="rId5" Type="http://schemas.openxmlformats.org/officeDocument/2006/relationships/font" Target="fonts/CenturyGothic-regular.ttf"/><Relationship Id="rId6" Type="http://schemas.openxmlformats.org/officeDocument/2006/relationships/font" Target="fonts/CenturyGothic-bold.ttf"/><Relationship Id="rId7" Type="http://schemas.openxmlformats.org/officeDocument/2006/relationships/font" Target="fonts/CenturyGothic-italic.ttf"/><Relationship Id="rId8" Type="http://schemas.openxmlformats.org/officeDocument/2006/relationships/font" Target="fonts/CenturyGothic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h78dwq3CIJvsFxxqAtTTDA2bJQ==">CgMxLjAyDmguNjJtMXFoZDd2cG94OAByITFaQUtSMFdDb1ZBVnlCdy1kNmNPNHNsYWpmX1dPUVBHNQ==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2025-05-24T16:42:00Z</dcterms:created>
  <dc:creator>William Fernando Cambara Cortez</dc:creator>
</cp:coreProperties>
</file>